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2-2531-2803/2025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 86</w:t>
      </w:r>
      <w:r>
        <w:rPr>
          <w:rFonts w:ascii="Times New Roman" w:eastAsia="Times New Roman" w:hAnsi="Times New Roman" w:cs="Times New Roman"/>
          <w:sz w:val="22"/>
          <w:szCs w:val="22"/>
        </w:rPr>
        <w:t>MS</w:t>
      </w:r>
      <w:r>
        <w:rPr>
          <w:rFonts w:ascii="Times New Roman" w:eastAsia="Times New Roman" w:hAnsi="Times New Roman" w:cs="Times New Roman"/>
          <w:sz w:val="22"/>
          <w:szCs w:val="22"/>
        </w:rPr>
        <w:t>0028-01-2025-002080-46</w:t>
      </w:r>
    </w:p>
    <w:p>
      <w:pPr>
        <w:widowControl w:val="0"/>
        <w:spacing w:before="0" w:after="0"/>
        <w:ind w:right="2"/>
        <w:jc w:val="center"/>
        <w:rPr>
          <w:sz w:val="22"/>
          <w:szCs w:val="22"/>
        </w:rPr>
      </w:pPr>
    </w:p>
    <w:p>
      <w:pPr>
        <w:widowControl w:val="0"/>
        <w:spacing w:before="0" w:after="0"/>
        <w:ind w:right="2"/>
        <w:jc w:val="center"/>
        <w:rPr>
          <w:sz w:val="22"/>
          <w:szCs w:val="22"/>
        </w:rPr>
      </w:pPr>
    </w:p>
    <w:p>
      <w:pPr>
        <w:widowControl w:val="0"/>
        <w:spacing w:before="0" w:after="0"/>
        <w:ind w:right="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РЕШЕНИЕ</w:t>
      </w:r>
    </w:p>
    <w:p>
      <w:pPr>
        <w:widowControl w:val="0"/>
        <w:spacing w:before="0" w:after="0"/>
        <w:ind w:right="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ind w:right="2"/>
        <w:jc w:val="center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9"/>
        <w:gridCol w:w="477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7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07 октября 2025 года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ab/>
            </w:r>
          </w:p>
        </w:tc>
        <w:tc>
          <w:tcPr>
            <w:tcW w:w="4927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</w:tr>
    </w:tbl>
    <w:p>
      <w:pPr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4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40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3 Ханты-Мансийского судебного </w:t>
      </w:r>
      <w:r>
        <w:rPr>
          <w:rStyle w:val="cat-Addressgrp-2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3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судебных заседаний </w:t>
      </w:r>
      <w:r>
        <w:rPr>
          <w:rStyle w:val="cat-FIOgrp-41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представителя истца </w:t>
      </w:r>
      <w:r>
        <w:rPr>
          <w:rStyle w:val="cat-FIOgrp-42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ответчиков </w:t>
      </w:r>
      <w:r>
        <w:rPr>
          <w:rStyle w:val="cat-FIOgrp-43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76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гражданское дело по исковому заявлению </w:t>
      </w:r>
      <w:r>
        <w:rPr>
          <w:rStyle w:val="cat-OrganizationNamegrp-66rplc-1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Лоскутову </w:t>
      </w:r>
      <w:r>
        <w:rPr>
          <w:rStyle w:val="cat-UserDefinedgrp-77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Лоскутовой </w:t>
      </w:r>
      <w:r>
        <w:rPr>
          <w:rStyle w:val="cat-UserDefinedgrp-78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за оказанную коммунальную услугу по обращению с твердыми коммунальными отходами, третье лицо, не заявляющее самостоятельных требований относительно предмета спора, товарищество собственников недвижимости </w:t>
      </w:r>
      <w:r>
        <w:rPr>
          <w:rStyle w:val="cat-OrganizationNamegrp-67rplc-2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ind w:right="2" w:firstLine="709"/>
        <w:jc w:val="both"/>
        <w:rPr>
          <w:sz w:val="26"/>
          <w:szCs w:val="26"/>
        </w:rPr>
      </w:pPr>
      <w:r>
        <w:rPr>
          <w:rStyle w:val="cat-OrganizationNamegrp-68rplc-2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обратилось в суд к ответчикам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47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М.В.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за оказание услуг по обращению с твердыми коммунальными отходами (далее – ТКО).</w:t>
      </w:r>
    </w:p>
    <w:p>
      <w:pPr>
        <w:widowControl w:val="0"/>
        <w:spacing w:before="0" w:after="0"/>
        <w:ind w:right="2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Требования мотивированы тем, что истец является региональным оператором по обращению с ТКО. Ответчик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48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являются собственниками земельного 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расположенного по адресу: </w:t>
      </w:r>
      <w:r>
        <w:rPr>
          <w:rStyle w:val="cat-Addressgrp-0rplc-2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79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 Отсутствие между сторонами договорных отнош</w:t>
      </w:r>
      <w:r>
        <w:rPr>
          <w:rFonts w:ascii="Times New Roman" w:eastAsia="Times New Roman" w:hAnsi="Times New Roman" w:cs="Times New Roman"/>
          <w:sz w:val="26"/>
          <w:szCs w:val="26"/>
        </w:rPr>
        <w:t>ений не освобождает собственника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земельного участка </w:t>
      </w:r>
      <w:r>
        <w:rPr>
          <w:rFonts w:ascii="Times New Roman" w:eastAsia="Times New Roman" w:hAnsi="Times New Roman" w:cs="Times New Roman"/>
          <w:sz w:val="26"/>
          <w:szCs w:val="26"/>
        </w:rPr>
        <w:t>от установленной законом обязанности нести расходы по оплате коммунальных услуг. Размер неоплаченной задолженности по обращению с ТКО за пер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иод оказанных услуг с </w:t>
      </w:r>
      <w:r>
        <w:rPr>
          <w:rStyle w:val="cat-UserDefinedgrp-80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составляет </w:t>
      </w:r>
      <w:r>
        <w:rPr>
          <w:rStyle w:val="cat-Sumgrp-53rplc-2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виду несвоевременной оплаты за 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мунальные услуги ответчикам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начислены пени в соответствии с ч.14 </w:t>
      </w:r>
      <w:r>
        <w:rPr>
          <w:rStyle w:val="cat-Addressgrp-13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ст.155 </w:t>
      </w:r>
      <w:r>
        <w:rPr>
          <w:rStyle w:val="cat-Addressgrp-14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РФ в размере </w:t>
      </w:r>
      <w:r>
        <w:rPr>
          <w:rStyle w:val="cat-Sumgrp-54rplc-3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01.06.2022 по 30.11.2024.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Таким образом, задолженность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ответчиков перед истцом составила </w:t>
      </w:r>
      <w:r>
        <w:rPr>
          <w:rStyle w:val="cat-Sumgrp-55rplc-3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Sumgrp-53rplc-3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+ </w:t>
      </w:r>
      <w:r>
        <w:rPr>
          <w:rStyle w:val="cat-Sumgrp-54rplc-3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). Ран</w:t>
      </w:r>
      <w:r>
        <w:rPr>
          <w:rFonts w:ascii="Times New Roman" w:eastAsia="Times New Roman" w:hAnsi="Times New Roman" w:cs="Times New Roman"/>
          <w:sz w:val="26"/>
          <w:szCs w:val="26"/>
        </w:rPr>
        <w:t>ее истец обращался с заявлением о выдаче 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приказа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указан</w:t>
      </w:r>
      <w:r>
        <w:rPr>
          <w:rFonts w:ascii="Times New Roman" w:eastAsia="Times New Roman" w:hAnsi="Times New Roman" w:cs="Times New Roman"/>
          <w:sz w:val="26"/>
          <w:szCs w:val="26"/>
        </w:rPr>
        <w:t>ной задолженности. Определением суда судебный приказ отменен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связи с возражениями ответчиков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right="2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Истец просит 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ответчиков солидарно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Style w:val="cat-OrganizationNamegrp-68rplc-3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сумму задолженности за оказанную услугу по обращению с ТКО за период с </w:t>
      </w:r>
      <w:r>
        <w:rPr>
          <w:rStyle w:val="cat-UserDefinedgrp-80rplc-4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Sumgrp-53rplc-4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Sumgrp-54rplc-4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пени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с 01.06.2022 по 30.11.2024</w:t>
      </w:r>
      <w:r>
        <w:rPr>
          <w:rFonts w:ascii="Times New Roman" w:eastAsia="Times New Roman" w:hAnsi="Times New Roman" w:cs="Times New Roman"/>
          <w:sz w:val="26"/>
          <w:szCs w:val="26"/>
        </w:rPr>
        <w:t>, а 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акже </w:t>
      </w:r>
      <w:r>
        <w:rPr>
          <w:rFonts w:ascii="Times New Roman" w:eastAsia="Times New Roman" w:hAnsi="Times New Roman" w:cs="Times New Roman"/>
          <w:sz w:val="26"/>
          <w:szCs w:val="26"/>
        </w:rPr>
        <w:t>расходы по оплате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венной пошлины в размере </w:t>
      </w:r>
      <w:r>
        <w:rPr>
          <w:rStyle w:val="cat-Sumgrp-56rplc-46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Определением мирового судьи от 22 августа 2025 года к участию в деле </w:t>
      </w:r>
      <w:r>
        <w:rPr>
          <w:rFonts w:ascii="Times New Roman" w:eastAsia="Times New Roman" w:hAnsi="Times New Roman" w:cs="Times New Roman"/>
          <w:sz w:val="26"/>
          <w:szCs w:val="26"/>
        </w:rPr>
        <w:t>в качестве третьего лица, не заявляющее самостоятельных требова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ний относительно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предмета спора привлечено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товарищество собственников недвижимости </w:t>
      </w:r>
      <w:r>
        <w:rPr>
          <w:rStyle w:val="cat-OrganizationNamegrp-67rplc-4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right="2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Представитель истца </w:t>
      </w:r>
      <w:r>
        <w:rPr>
          <w:rStyle w:val="cat-FIOgrp-42rplc-4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действующая на основании доверенности № 228/24 от 27.12.2024, в судебном заседании поддержала исковые требования в полном объеме, просила их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Указала, что договор с ответчиками заключен по типовой форме и отсутствие письменной формы договора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является основанием для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>задолженности за оказанную коммунальную услугу по обращению с твердыми коммунальными отходами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Сослалась на то, что ответчики вправе вывозить ТКО не только в </w:t>
      </w:r>
      <w:r>
        <w:rPr>
          <w:rStyle w:val="cat-OrganizationNamegrp-69rplc-5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 в ближайшие к их месту жительства контейнерные площадки, которые обслуживает </w:t>
      </w:r>
      <w:r>
        <w:rPr>
          <w:rStyle w:val="cat-OrganizationNamegrp-68rplc-5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right="2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Ответчики </w:t>
      </w:r>
      <w:r>
        <w:rPr>
          <w:rStyle w:val="cat-FIOgrp-47rplc-5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Style w:val="cat-FIOgrp-44rplc-5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судебном заседании возражали относительно исковых требований </w:t>
      </w:r>
      <w:r>
        <w:rPr>
          <w:rStyle w:val="cat-OrganizationNamegrp-68rplc-5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просили отказать в их удовлетворении. Указали, что после приобретения земельного участка </w:t>
      </w:r>
      <w:r>
        <w:rPr>
          <w:rStyle w:val="cat-UserDefinedgrp-81rplc-5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постоянно проживают на земельном участке и </w:t>
      </w:r>
      <w:r>
        <w:rPr>
          <w:rFonts w:ascii="Times New Roman" w:eastAsia="Times New Roman" w:hAnsi="Times New Roman" w:cs="Times New Roman"/>
          <w:sz w:val="26"/>
          <w:szCs w:val="26"/>
        </w:rPr>
        <w:t>ТБО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спорный период утилизировали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самостоятельно на полигон, расположенный около </w:t>
      </w:r>
      <w:r>
        <w:rPr>
          <w:rStyle w:val="cat-Addressgrp-5rplc-5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Ссылаются на отсутствие письменного договора с </w:t>
      </w:r>
      <w:r>
        <w:rPr>
          <w:rStyle w:val="cat-OrganizationNamegrp-68rplc-5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отсутствие контейнерной площадки вблизи их места жительства. Полагают, что не являются членами </w:t>
      </w:r>
      <w:r>
        <w:rPr>
          <w:rStyle w:val="cat-OrganizationNamegrp-70rplc-5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Представитель третьего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товарищество собственников недвижимости </w:t>
      </w:r>
      <w:r>
        <w:rPr>
          <w:rStyle w:val="cat-OrganizationNamegrp-67rplc-6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явился, извещен надлежащим образом о времени и месте судебного заседания.</w:t>
      </w:r>
    </w:p>
    <w:p>
      <w:pPr>
        <w:widowControl w:val="0"/>
        <w:spacing w:before="0" w:after="0"/>
        <w:ind w:right="2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судья, руководствуясь статьей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167 ГПК РФ, счел возможным рассмотреть дело </w:t>
      </w:r>
      <w:r>
        <w:rPr>
          <w:rFonts w:ascii="Times New Roman" w:eastAsia="Times New Roman" w:hAnsi="Times New Roman" w:cs="Times New Roman"/>
          <w:sz w:val="26"/>
          <w:szCs w:val="26"/>
        </w:rPr>
        <w:t>в отсутствии представителя третьего лица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Суд, выслушав стороны, изучив материалы гражданского дела, приходит к следующему.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ч.1 </w:t>
      </w:r>
      <w:r>
        <w:rPr>
          <w:rStyle w:val="cat-Addressgrp-13rplc-6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ст.153 </w:t>
      </w:r>
      <w:r>
        <w:rPr>
          <w:rStyle w:val="cat-Addressgrp-15rplc-6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а Российской Федерации (далее-ЖК РФ) граждане и организации обязаны своевременно и полностью вносить плату за жилое помещение и коммунальные услуги.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п.5 ч.2 ст.153 ЖК РФ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правила, установленного частью 3 статьи 169 настоящего Кодекса.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ч.4 ст.154 ЖК РФ плата за коммунальные услуги, в том числе, включает в себя плату за обращение с твердыми коммунальными отходами.</w:t>
      </w:r>
    </w:p>
    <w:p>
      <w:pPr>
        <w:spacing w:before="0" w:after="0"/>
        <w:ind w:right="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п.1 ст.24.6 Федерального закона от 24 июня 1998 года №89-ФЗ «Об отходах производства и потребления» (далее-Федеральный закон №89-ФЗ) обращение с твердыми коммунальными отходами обеспечивается региональными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операторами. </w:t>
      </w:r>
    </w:p>
    <w:p>
      <w:pPr>
        <w:spacing w:before="0" w:after="0"/>
        <w:ind w:right="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п.1 ст.24.7 Федерального закона №89-ФЗ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отходов. Договор на оказание услуг по обращению с твердыми коммунальными отходами является публичным для регионального оператора.</w:t>
      </w:r>
    </w:p>
    <w:p>
      <w:pPr>
        <w:spacing w:before="0" w:after="0"/>
        <w:ind w:right="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п.2 ст.24.7 Федерального закона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 </w:t>
      </w:r>
      <w:r>
        <w:rPr>
          <w:rFonts w:ascii="Times New Roman" w:eastAsia="Times New Roman" w:hAnsi="Times New Roman" w:cs="Times New Roman"/>
          <w:sz w:val="26"/>
          <w:szCs w:val="26"/>
        </w:rPr>
        <w:t>№89-ФЗ по договору оказания услуг по обращению с твердыми коммунальными отходами региональный оператор обязуется принимать твердые коммунальные отходы в объеме и в местах (на площадках) накопления, которые определены в этом договоре, и обеспечивать их транспортирование, обработку, обезвреживание, захоронение в соответствии с законодательством Российской Федерации, а собственник твердых коммунальных отходов обязуется оплачивать услуги регионального оператора по цене, определенной в пределах утвержденного в установленном порядке единого тарифа на услуги регионального оператора.</w:t>
      </w:r>
    </w:p>
    <w:p>
      <w:pPr>
        <w:spacing w:before="0" w:after="0"/>
        <w:ind w:right="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накопления (п.4 ст.24.7 Федерального закона №89-ФЗ).</w:t>
      </w:r>
    </w:p>
    <w:p>
      <w:pPr>
        <w:spacing w:before="0" w:after="0"/>
        <w:ind w:right="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п.8.17 Правил обращения с твердыми коммунальными отходами, утвержденных постановлением Правительства РФ от 12 ноября 2016 г. №1156 «</w:t>
      </w:r>
      <w:r>
        <w:rPr>
          <w:rFonts w:ascii="Times New Roman" w:eastAsia="Times New Roman" w:hAnsi="Times New Roman" w:cs="Times New Roman"/>
          <w:sz w:val="26"/>
          <w:szCs w:val="26"/>
        </w:rPr>
        <w:t>Об обращении с твердыми коммунальными отходами и внесении изменения в постановление Правительства Российской Федерации от 25 августа 2008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г. №641» (далее Правила №1156).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Региональный оператор в течение одного месяца со дня заключения соглашения извещает потенциальных потребителей о необходимости заключения 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12084/entry/24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«Об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отходах производства и потребления» договора на оказание услуг по обращению с твердыми коммунальными отходами всеми доступными способами, в том числе путем размещения соответствующей информации на своем официальном сайте в информационно-телекоммуникационной сети «Интернет», а также в средствах массовой информации.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Региональный оператор в течение 10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рабочих дней со дня утверждения в установленном порядке единого тарифа на услугу регионального оператора на 1-й год действия соглашения размещает одновременно в печатных средствах массовой информации, установленных для официального опубликования правовых актов органов государственной власти субъекта Российской Федерации, и на своем официальном сайте в информационно-телекоммуникационной сети «Интернет» адресованное потребителям предложение о заключении договора на оказание услуг по обращению с твердыми коммунальными отходами и текст типового договора.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Потребитель в течение 15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рабочих дней со дня размещения региональным оператором предложения о заключении договора на оказание услуг по обращению с твердыми коммунальными отходами направляет региональному оператору заявку потребителя и документы 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71540160/entry/108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пунктами 8.5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-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8.7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настоящих Правил. Заявка потребителя рассматривается в порядке, предусмотренном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71540160/entry/108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пунктами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8.8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-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8.16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настоящих Правил.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если потребитель не направил региональному оператору заявку потребителя и документы 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71540160/entry/108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пунктами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8.5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-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8.7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настоящих Правил в указанный срок, договор на оказание услуг по обращению с твердыми коммунальными отходами считается заключенным на условиях типового договора и вступившим в силу на 16-й рабочий день после размещения региональным оператором предложения о заключении указанного договора на своем официальном сайте в информационно-телекоммуникационной сети «Интернет».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Правительство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anchor="/document/12186043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от 06.05.2011 №354 утвердило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anchor="/document/12186043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Правила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предоставления коммунальных услуг собственникам и пользователям помещений в многоквартирных домах и жилых домов и особенности применения этих Правил (далее - Правила №354).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anchor="/document/12186043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Правилами №354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расчет размера платы за коммунальную услугу по обращению с твердыми коммунальными отходами, предоставленную потребителю в жилом помещении, осуществляется, по общему правилу, по формуле 9.1 приложения №2 к Правилам (абзац первый пункта 148(30)), то есть исходя из количества граждан, постоянно или временно проживающих в конкретном жилом помещении, на основании нормативов накопления твердых коммунальных отходов и цены на данную коммунальную услугу, определенной в пределах утвержденного в установленном порядке единого тарифа на услугу регионального оператора по обращению с твердыми коммунальными отходами.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anchor="/document/12186043/entry/148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пунктом 148(1)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Правил №354 предоставление коммунальной услуги по обращению с твердыми коммунальными отходами потребителю осуществляется на основании возмездного договора, содержащего положения о предоставлении коммунальной услуги по обращению с твердыми коммунальными отходами, из числа договоров, указанных в пунктах 148(4) - 148(6) настоящих Правил.</w:t>
      </w:r>
    </w:p>
    <w:p>
      <w:pPr>
        <w:spacing w:before="0" w:after="0"/>
        <w:ind w:right="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Единый тариф на услугу регионального оператора установлен приказами Региональной службы по тарифам по </w:t>
      </w:r>
      <w:r>
        <w:rPr>
          <w:rStyle w:val="cat-Addressgrp-6rplc-6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right="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Постановлением Правительства Российской Федерации от 04 апреля 2016 года №269 «Об определении нормативов накопления твердых коммунальных отходов», установлен порядок определения нормативов накопления твердых коммунальных отходов, включающий в себя процедуры сбора, анализа и расчета данных о массе и объеме накапливаемых отходов с учетом их сезонных изменений.</w:t>
      </w:r>
    </w:p>
    <w:p>
      <w:pPr>
        <w:spacing w:before="0" w:after="0"/>
        <w:ind w:right="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Установление нормативов накопления твердых коммунальных отходов отнесено к полномочиям органов местного самоуправления </w:t>
      </w:r>
      <w:r>
        <w:rPr>
          <w:rStyle w:val="cat-Addressgrp-1rplc-7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4rplc-7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что следует из Закона </w:t>
      </w:r>
      <w:r>
        <w:rPr>
          <w:rStyle w:val="cat-Addressgrp-7rplc-7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17 ноября 2016 года №79-оз «О наделении органов местного самоуправления муниципальных образований </w:t>
      </w:r>
      <w:r>
        <w:rPr>
          <w:rStyle w:val="cat-Addressgrp-1rplc-7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7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отдельными государственными полномочиями в сфере обращения с твердыми коммунальными отходами».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Как следует из материалов дела и установлено в судебном заседании, </w:t>
      </w:r>
      <w:r>
        <w:rPr>
          <w:rStyle w:val="cat-OrganizationNamegrp-68rplc-7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является региональным оператором по обращению с твердыми коммунальными отходами. Зоной деятельности регионального оператора в соответствии с Соглашением об организации деятельности по обращению с твердыми коммунальными отходами №25 от 02.04.2018, заключенным между Департаментом промышленности ХМА-Югры и </w:t>
      </w:r>
      <w:r>
        <w:rPr>
          <w:rStyle w:val="cat-OrganizationNamegrp-68rplc-7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является, в числе прочего, территория городского округа </w:t>
      </w:r>
      <w:r>
        <w:rPr>
          <w:rStyle w:val="cat-Addressgrp-8rplc-7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Типовая форма договора оказания услуг по обращению с твердыми коммунальными отходами размещена в газете «Новости </w:t>
      </w:r>
      <w:r>
        <w:rPr>
          <w:rStyle w:val="cat-Addressgrp-4rplc-8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» выпуск №7 (19481) от 24.01.2019.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положения п.8.17 Правил №1156 договор оказания услуг по обращению с твердыми коммунальными отходами считается заключенным на 16-й рабочий день после размещения региональным оператором предложения о его заключении, то есть </w:t>
      </w:r>
      <w:r>
        <w:rPr>
          <w:rStyle w:val="cat-UserDefinedgrp-31rplc-8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что судом рассматривается как начало оказания услуг.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Представителем истца не представлено доказательств того, что типовая форма договора </w:t>
      </w:r>
      <w:r>
        <w:rPr>
          <w:rFonts w:ascii="Times New Roman" w:eastAsia="Times New Roman" w:hAnsi="Times New Roman" w:cs="Times New Roman"/>
          <w:sz w:val="26"/>
          <w:szCs w:val="26"/>
        </w:rPr>
        <w:t>оказания услуг по обращению с твердыми коммунальными отходами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была опубликована в ином источнике ранее, чем 24.01.2019.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Ответчики </w:t>
      </w:r>
      <w:r>
        <w:rPr>
          <w:rStyle w:val="cat-FIOgrp-47rplc-8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М.В. являются собственниками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жилого дома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земельным участком</w:t>
      </w:r>
      <w:r>
        <w:rPr>
          <w:rFonts w:ascii="Times New Roman" w:eastAsia="Times New Roman" w:hAnsi="Times New Roman" w:cs="Times New Roman"/>
          <w:sz w:val="26"/>
          <w:szCs w:val="26"/>
        </w:rPr>
        <w:t>, расположенного по 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у: </w:t>
      </w:r>
      <w:r>
        <w:rPr>
          <w:rStyle w:val="cat-Addressgrp-0rplc-8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СОК «Урожай» участок № 20, с 04.05.2017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что подтверждается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Единого государственного реестра недвижимости и не оспаривается ответчиками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right="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</w:t>
      </w:r>
      <w:r>
        <w:rPr>
          <w:rFonts w:ascii="Times New Roman" w:eastAsia="Times New Roman" w:hAnsi="Times New Roman" w:cs="Times New Roman"/>
          <w:sz w:val="26"/>
          <w:szCs w:val="26"/>
        </w:rPr>
        <w:t>разом, между истцом и ответчиками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несмотря на отсутствие письменной формы, в установленном порядке </w:t>
      </w:r>
      <w:r>
        <w:rPr>
          <w:rStyle w:val="cat-UserDefinedgrp-31rplc-8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заключен договор по обращению с твердыми бытовыми отходами в отношении объекта, на</w:t>
      </w:r>
      <w:r>
        <w:rPr>
          <w:rFonts w:ascii="Times New Roman" w:eastAsia="Times New Roman" w:hAnsi="Times New Roman" w:cs="Times New Roman"/>
          <w:sz w:val="26"/>
          <w:szCs w:val="26"/>
        </w:rPr>
        <w:t>ходящегося в собственности ответчиков</w:t>
      </w:r>
      <w:r>
        <w:rPr>
          <w:rFonts w:ascii="Times New Roman" w:eastAsia="Times New Roman" w:hAnsi="Times New Roman" w:cs="Times New Roman"/>
          <w:sz w:val="26"/>
          <w:szCs w:val="26"/>
        </w:rPr>
        <w:t>,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Style w:val="cat-Addressgrp-0rplc-8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82rplc-9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Приказами Региональ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ной службы по тарифам 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№132-нп от 19.12.2018, № 4-нп от 18.02.2020, № 144-нп от 16.12.2021, № 10-нп от 03.03.2022 установлен единый тариф на услуги по обращению с твердыми бытовыми отходами.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связи с нен</w:t>
      </w:r>
      <w:r>
        <w:rPr>
          <w:rFonts w:ascii="Times New Roman" w:eastAsia="Times New Roman" w:hAnsi="Times New Roman" w:cs="Times New Roman"/>
          <w:sz w:val="26"/>
          <w:szCs w:val="26"/>
        </w:rPr>
        <w:t>адлежащим исполнением ответчиками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обязательств по оплате коммунальной услуги по обращению с твердыми коммунальными отходами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01.04.2022 по 30.11.2024 у </w:t>
      </w:r>
      <w:r>
        <w:rPr>
          <w:rStyle w:val="cat-FIOgrp-49rplc-9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А.Н. и М.В.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образовалась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в размере </w:t>
      </w:r>
      <w:r>
        <w:rPr>
          <w:rStyle w:val="cat-Sumgrp-53rplc-98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расчета задолженности по лицевому счету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186313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задолженность ответчиков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 истцом по основному долгу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01.04.2022 по 30.11.2024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составляет </w:t>
      </w:r>
      <w:r>
        <w:rPr>
          <w:rStyle w:val="cat-Sumgrp-57rplc-10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До настоящего </w:t>
      </w:r>
      <w:r>
        <w:rPr>
          <w:rFonts w:ascii="Times New Roman" w:eastAsia="Times New Roman" w:hAnsi="Times New Roman" w:cs="Times New Roman"/>
          <w:sz w:val="26"/>
          <w:szCs w:val="26"/>
        </w:rPr>
        <w:t>времени задолженность ответчиками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погашена.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Судом проверен представленный расчет и суд признает его верным. Оснований сомневаться в правильности начисления истцом ежемесячных коммунальных платежей суд не усматривает. Расчеты произведены с указанием периодов расчета, сумм начислений, является подробным и понятным. Расчеты ответчиком не оспорены, как и то обстоятельство, что оказанием услуг занимался истец.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ст.309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в соответствии с обычаями делового оборота или иными обычно предъявляемыми требованиями.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Ответчиками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Style w:val="cat-FIOgrp-48rplc-10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А.Н. и М.В.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представлено доказательств, что им надлежащим образом исполняются обязательства по оплате оказанных услуг.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учетом установленных обстоятельств, принимая во внимание положения ст. 210 Гражданского кодекса Российской Федерации и статей 30, 153 Жилищного кодекса Российской Федерации ответчик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собственником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земельного участка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объекта недвижимости, обязан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нести бремя содержания принадлежащег</w:t>
      </w:r>
      <w:r>
        <w:rPr>
          <w:rFonts w:ascii="Times New Roman" w:eastAsia="Times New Roman" w:hAnsi="Times New Roman" w:cs="Times New Roman"/>
          <w:sz w:val="26"/>
          <w:szCs w:val="26"/>
        </w:rPr>
        <w:t>о имущества, в связи с чем, имею</w:t>
      </w:r>
      <w:r>
        <w:rPr>
          <w:rFonts w:ascii="Times New Roman" w:eastAsia="Times New Roman" w:hAnsi="Times New Roman" w:cs="Times New Roman"/>
          <w:sz w:val="26"/>
          <w:szCs w:val="26"/>
        </w:rPr>
        <w:t>т обязанность перед истцом, как организацией, осуществляющей предоставление коммунальных услуг, осуществлять оплату предоставляемых коммунальных услуг.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указанных обстоятельствах, исковые требования </w:t>
      </w:r>
      <w:r>
        <w:rPr>
          <w:rStyle w:val="cat-OrganizationNamegrp-68rplc-10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47rplc-10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М.В.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за коммунальную услугу по обращению с твердыми коммунальными отходами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01.04.2022 по 30.11.2024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размере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Sumgrp-57rplc-10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подлежат удовлетворению.</w:t>
      </w:r>
    </w:p>
    <w:p>
      <w:pPr>
        <w:spacing w:before="0" w:after="0"/>
        <w:ind w:right="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Доводы ответчиков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он</w:t>
      </w:r>
      <w:r>
        <w:rPr>
          <w:rFonts w:ascii="Times New Roman" w:eastAsia="Times New Roman" w:hAnsi="Times New Roman" w:cs="Times New Roman"/>
          <w:sz w:val="26"/>
          <w:szCs w:val="26"/>
        </w:rPr>
        <w:t>и не пользую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тся услугами </w:t>
      </w:r>
      <w:r>
        <w:rPr>
          <w:rStyle w:val="cat-OrganizationNamegrp-68rplc-10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так как, </w:t>
      </w:r>
      <w:r>
        <w:rPr>
          <w:rFonts w:ascii="Times New Roman" w:eastAsia="Times New Roman" w:hAnsi="Times New Roman" w:cs="Times New Roman"/>
          <w:sz w:val="26"/>
          <w:szCs w:val="26"/>
        </w:rPr>
        <w:t>контейнерная площадка находится на удаленном расстоянии от их земельного участка и в связи с тем, что они выв</w:t>
      </w:r>
      <w:r>
        <w:rPr>
          <w:rFonts w:ascii="Times New Roman" w:eastAsia="Times New Roman" w:hAnsi="Times New Roman" w:cs="Times New Roman"/>
          <w:sz w:val="26"/>
          <w:szCs w:val="26"/>
        </w:rPr>
        <w:t>озили в спорный период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мусор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полигон</w:t>
      </w:r>
      <w:r>
        <w:rPr>
          <w:rFonts w:ascii="Times New Roman" w:eastAsia="Times New Roman" w:hAnsi="Times New Roman" w:cs="Times New Roman"/>
          <w:sz w:val="26"/>
          <w:szCs w:val="26"/>
        </w:rPr>
        <w:t>, суд не принимает во внимание.</w:t>
      </w:r>
    </w:p>
    <w:p>
      <w:pPr>
        <w:spacing w:before="0" w:after="0"/>
        <w:ind w:right="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Образование твердых коммунальных отходов является закономерным и неотъемлемым результатом жизнедеятельности человека.</w:t>
      </w:r>
    </w:p>
    <w:p>
      <w:pPr>
        <w:spacing w:before="0" w:after="0"/>
        <w:ind w:right="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Потребитель не вправе перерабатывать твердые коммунальные отходы на своем земельном участке, должен осуществлять их складирование в установленном законе порядке, для последующего сбора, транспортирования, обработки, утилизации, обезвреживания, захоронения твердых коммунальных отходов.</w:t>
      </w:r>
    </w:p>
    <w:p>
      <w:pPr>
        <w:spacing w:before="0" w:after="0"/>
        <w:ind w:right="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ст.1 Федерального закона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24 июня 1998 года №89-ФЗ «Об отходах производства и потребления» отходы производства и потребления (отходы), это вещества 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настоящим Федеральным законом.</w:t>
      </w:r>
    </w:p>
    <w:p>
      <w:pPr>
        <w:spacing w:before="0" w:after="0"/>
        <w:ind w:right="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Твердыми коммунальными отходами являются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>
      <w:pPr>
        <w:spacing w:before="0" w:after="0"/>
        <w:ind w:right="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Условием образования твердых коммунальных отходов является смешение различных материалов и изделий при утрате ими потребительских свойств, что обуславливает схожесть компонентного состава видов отходов, относящихся к твердым коммунальным отходам, вне зависимости от источника образования, и агрегатное состояние «смесь материалов и изделий». Условия образования твердых коммунальных отходов обуславливают также особенность их удаления, которое осуществляется в основном путем захоронения, в ряде случаев предварительной сортировкой.</w:t>
      </w:r>
    </w:p>
    <w:p>
      <w:pPr>
        <w:spacing w:before="0" w:after="0"/>
        <w:ind w:right="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Изложенное свидетельствует о том, что ответчик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процессе своей жизнедеятельности безусловно </w:t>
      </w:r>
      <w:r>
        <w:rPr>
          <w:rFonts w:ascii="Times New Roman" w:eastAsia="Times New Roman" w:hAnsi="Times New Roman" w:cs="Times New Roman"/>
          <w:sz w:val="26"/>
          <w:szCs w:val="26"/>
        </w:rPr>
        <w:t>образую</w:t>
      </w:r>
      <w:r>
        <w:rPr>
          <w:rFonts w:ascii="Times New Roman" w:eastAsia="Times New Roman" w:hAnsi="Times New Roman" w:cs="Times New Roman"/>
          <w:sz w:val="26"/>
          <w:szCs w:val="26"/>
        </w:rPr>
        <w:t>т твердые коммунальные отходы.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 того, что </w:t>
      </w:r>
      <w:r>
        <w:rPr>
          <w:rFonts w:ascii="Times New Roman" w:eastAsia="Times New Roman" w:hAnsi="Times New Roman" w:cs="Times New Roman"/>
          <w:sz w:val="26"/>
          <w:szCs w:val="26"/>
        </w:rPr>
        <w:t>ответчики заключили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договор с иной организацией по вывозу твердых </w:t>
      </w:r>
      <w:r>
        <w:rPr>
          <w:rFonts w:ascii="Times New Roman" w:eastAsia="Times New Roman" w:hAnsi="Times New Roman" w:cs="Times New Roman"/>
          <w:sz w:val="26"/>
          <w:szCs w:val="26"/>
        </w:rPr>
        <w:t>коммунальных отходов в спорный период, ответчиками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суду не представлено, как не представлено доказательств того, что утилизация им ТКО осуществляется в соответствии с нормами санитарных правил.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Кроме того, предоставленный ответчиками чек от 21.08.2022 подтверждает вывоз ответчиками на полигон Шапша отходов 4-5 класса опасности, за исключением ТКО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При этом, предоставленный ответчиками 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оговор № 085-25 ро заключен </w:t>
      </w:r>
      <w:r>
        <w:rPr>
          <w:rFonts w:ascii="Times New Roman" w:eastAsia="Times New Roman" w:hAnsi="Times New Roman" w:cs="Times New Roman"/>
          <w:sz w:val="26"/>
          <w:szCs w:val="26"/>
        </w:rPr>
        <w:t>только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10.09.2025 и регулирует правоотношения между М ДЭП и ответчиком </w:t>
      </w:r>
      <w:r>
        <w:rPr>
          <w:rStyle w:val="cat-FIOgrp-47rplc-1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возмездное оказание услуг только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размещению отходов </w:t>
      </w:r>
      <w:r>
        <w:rPr>
          <w:rFonts w:ascii="Times New Roman" w:eastAsia="Times New Roman" w:hAnsi="Times New Roman" w:cs="Times New Roman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класса опасности (за исключением твердых коммунальных отходов)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Также, материалами дела подтверждается, что для потребителей, являющихся собственниками земельного участка № 20 СОК «Урожай» место (площадка) накопления ТКО расположено в </w:t>
      </w:r>
      <w:r>
        <w:rPr>
          <w:rStyle w:val="cat-Addressgrp-0rplc-1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ТСН СОТ «Надежда». Кроме того, ответчики вправе использовать контейнерные площадки вблизи их участка, расположенные в СОТ «Учитель», СОК «Урожай», СОТ </w:t>
      </w:r>
      <w:r>
        <w:rPr>
          <w:rStyle w:val="cat-Addressgrp-11rplc-1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9rplc-1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10rplc-11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ч.14 ст.155 ЖК РФ </w:t>
      </w: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и (или) не полностью внесшие плату за жилое помещение и коммунальные услуги, обязаны уплатить кредитору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71706202/entry/3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пени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в размере одной трехсотой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80094/entry/2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ставки рефинансирования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стотридцатой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установленных настоящей частью размеров пеней не допускается.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Поскольку ответчик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исполнил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свои обязательства по оплате коммунальных услуг в период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80rplc-1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 основании </w:t>
      </w:r>
      <w:hyperlink r:id="rId6" w:anchor="/document/12138291/entry/15501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.14 </w:t>
        </w:r>
        <w:r>
          <w:rPr>
            <w:rStyle w:val="cat-Addressgrp-13rplc-120"/>
            <w:rFonts w:ascii="Times New Roman" w:eastAsia="Times New Roman" w:hAnsi="Times New Roman" w:cs="Times New Roman"/>
            <w:color w:val="0000EE"/>
            <w:sz w:val="26"/>
            <w:szCs w:val="26"/>
          </w:rPr>
          <w:t>адрес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ст.155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14rplc-12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а РФ, требования истца о взыскании пени за просрочку платежа, суд полагает законн</w:t>
      </w:r>
      <w:r>
        <w:rPr>
          <w:rFonts w:ascii="Times New Roman" w:eastAsia="Times New Roman" w:hAnsi="Times New Roman" w:cs="Times New Roman"/>
          <w:sz w:val="26"/>
          <w:szCs w:val="26"/>
        </w:rPr>
        <w:t>ыми и обоснованными, с ответчиков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истца подлежат взысканию пени, согласно представленному и не оспоренному ответчик</w:t>
      </w:r>
      <w:r>
        <w:rPr>
          <w:rFonts w:ascii="Times New Roman" w:eastAsia="Times New Roman" w:hAnsi="Times New Roman" w:cs="Times New Roman"/>
          <w:sz w:val="26"/>
          <w:szCs w:val="26"/>
        </w:rPr>
        <w:t>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расчету истца, за период с 01.06.2022 по 30.11.2024 в размере </w:t>
      </w:r>
      <w:r>
        <w:rPr>
          <w:rStyle w:val="cat-Sumgrp-58rplc-1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hyperlink r:id="rId6" w:anchor="/document/12128809/entry/9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статей 94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6" w:anchor="/document/12128809/entry/9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98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, с ответчиков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истца подлежат взысканию расходы по оплате государственной пошлины в размере </w:t>
      </w:r>
      <w:r>
        <w:rPr>
          <w:rStyle w:val="cat-Sumgrp-59rplc-12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 подтвержденные документально.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статьями 194-199 Гражданского процессуального кодекса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оссийской </w:t>
      </w:r>
      <w:r>
        <w:rPr>
          <w:rFonts w:ascii="Times New Roman" w:eastAsia="Times New Roman" w:hAnsi="Times New Roman" w:cs="Times New Roman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sz w:val="26"/>
          <w:szCs w:val="26"/>
        </w:rPr>
        <w:t>едерации, 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Исковое заявление </w:t>
      </w:r>
      <w:r>
        <w:rPr>
          <w:rStyle w:val="cat-OrganizationNamegrp-66rplc-12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Лоскутову </w:t>
      </w:r>
      <w:r>
        <w:rPr>
          <w:rStyle w:val="cat-UserDefinedgrp-83rplc-1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за оказанную коммунальную услугу по обращению с твердыми коммунальными отходами, третье лицо, не заявляющее самостоятельных требований относительно предмета спора, товарищество собственников недвижимости </w:t>
      </w:r>
      <w:r>
        <w:rPr>
          <w:rStyle w:val="cat-OrganizationNamegrp-67rplc-13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солидарно с Лоскутова </w:t>
      </w:r>
      <w:r>
        <w:rPr>
          <w:rStyle w:val="cat-UserDefinedgrp-85rplc-1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64rplc-13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75rplc-1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73rplc-1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Лоскутовой </w:t>
      </w:r>
      <w:r>
        <w:rPr>
          <w:rStyle w:val="cat-UserDefinedgrp-84rplc-1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65rplc-13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74rplc-1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66rplc-14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 8601065381) </w:t>
      </w:r>
      <w:r>
        <w:rPr>
          <w:rFonts w:ascii="Times New Roman" w:eastAsia="Times New Roman" w:hAnsi="Times New Roman" w:cs="Times New Roman"/>
          <w:sz w:val="26"/>
          <w:szCs w:val="26"/>
        </w:rPr>
        <w:t>задолженность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оказанную коммунальную услугу по обращению с твердыми коммунальными отходами по объекту, расположенному по адресу: </w:t>
      </w:r>
      <w:r>
        <w:rPr>
          <w:rStyle w:val="cat-Addressgrp-0rplc-1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86rplc-14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 основному долгу в размере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Sumgrp-60rplc-14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с </w:t>
      </w:r>
      <w:r>
        <w:rPr>
          <w:rStyle w:val="cat-UserDefinedgrp-80rplc-14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пени за период с </w:t>
      </w:r>
      <w:r>
        <w:rPr>
          <w:rStyle w:val="cat-UserDefinedgrp-87rplc-14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размере </w:t>
      </w:r>
      <w:r>
        <w:rPr>
          <w:rStyle w:val="cat-Sumgrp-61rplc-15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также расходы по оплате государственной пошлины в размере </w:t>
      </w:r>
      <w:r>
        <w:rPr>
          <w:rStyle w:val="cat-Sumgrp-62rplc-15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всего взыскать </w:t>
      </w:r>
      <w:r>
        <w:rPr>
          <w:rStyle w:val="cat-Sumgrp-63rplc-15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может быть обжаловано в апелляционном порядке в Ханты-Мансийский районный суд </w:t>
      </w:r>
      <w:r>
        <w:rPr>
          <w:rStyle w:val="cat-Addressgrp-1rplc-15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4rplc-15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со дня принятия решения в окончательной форме, путем подачи апелляционной жалобы мировому судье судебного участка № 3 Ханты-Мансийского судебного </w:t>
      </w:r>
      <w:r>
        <w:rPr>
          <w:rStyle w:val="cat-Addressgrp-12rplc-15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автономного округа-Югры.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составлено и принято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>24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года. 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52rplc-15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52rplc-15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160" w:line="259" w:lineRule="auto"/>
        <w:rPr>
          <w:sz w:val="26"/>
          <w:szCs w:val="26"/>
        </w:rPr>
      </w:pPr>
    </w:p>
    <w:p>
      <w:pPr>
        <w:spacing w:before="0" w:after="160" w:line="259" w:lineRule="auto"/>
        <w:rPr>
          <w:sz w:val="26"/>
          <w:szCs w:val="26"/>
        </w:rPr>
      </w:pPr>
    </w:p>
    <w:sectPr>
      <w:headerReference w:type="default" r:id="rId7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906370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4rplc-5">
    <w:name w:val="cat-Address grp-4 rplc-5"/>
    <w:basedOn w:val="DefaultParagraphFont"/>
  </w:style>
  <w:style w:type="character" w:customStyle="1" w:styleId="cat-FIOgrp-40rplc-6">
    <w:name w:val="cat-FIO grp-40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41rplc-10">
    <w:name w:val="cat-FIO grp-41 rplc-10"/>
    <w:basedOn w:val="DefaultParagraphFont"/>
  </w:style>
  <w:style w:type="character" w:customStyle="1" w:styleId="cat-FIOgrp-42rplc-11">
    <w:name w:val="cat-FIO grp-42 rplc-11"/>
    <w:basedOn w:val="DefaultParagraphFont"/>
  </w:style>
  <w:style w:type="character" w:customStyle="1" w:styleId="cat-FIOgrp-43rplc-12">
    <w:name w:val="cat-FIO grp-43 rplc-12"/>
    <w:basedOn w:val="DefaultParagraphFont"/>
  </w:style>
  <w:style w:type="character" w:customStyle="1" w:styleId="cat-UserDefinedgrp-76rplc-13">
    <w:name w:val="cat-UserDefined grp-76 rplc-13"/>
    <w:basedOn w:val="DefaultParagraphFont"/>
  </w:style>
  <w:style w:type="character" w:customStyle="1" w:styleId="cat-OrganizationNamegrp-66rplc-15">
    <w:name w:val="cat-OrganizationName grp-66 rplc-15"/>
    <w:basedOn w:val="DefaultParagraphFont"/>
  </w:style>
  <w:style w:type="character" w:customStyle="1" w:styleId="cat-UserDefinedgrp-77rplc-17">
    <w:name w:val="cat-UserDefined grp-77 rplc-17"/>
    <w:basedOn w:val="DefaultParagraphFont"/>
  </w:style>
  <w:style w:type="character" w:customStyle="1" w:styleId="cat-UserDefinedgrp-78rplc-19">
    <w:name w:val="cat-UserDefined grp-78 rplc-19"/>
    <w:basedOn w:val="DefaultParagraphFont"/>
  </w:style>
  <w:style w:type="character" w:customStyle="1" w:styleId="cat-OrganizationNamegrp-67rplc-20">
    <w:name w:val="cat-OrganizationName grp-67 rplc-20"/>
    <w:basedOn w:val="DefaultParagraphFont"/>
  </w:style>
  <w:style w:type="character" w:customStyle="1" w:styleId="cat-OrganizationNamegrp-68rplc-21">
    <w:name w:val="cat-OrganizationName grp-68 rplc-21"/>
    <w:basedOn w:val="DefaultParagraphFont"/>
  </w:style>
  <w:style w:type="character" w:customStyle="1" w:styleId="cat-FIOgrp-47rplc-22">
    <w:name w:val="cat-FIO grp-47 rplc-22"/>
    <w:basedOn w:val="DefaultParagraphFont"/>
  </w:style>
  <w:style w:type="character" w:customStyle="1" w:styleId="cat-FIOgrp-48rplc-23">
    <w:name w:val="cat-FIO grp-48 rplc-23"/>
    <w:basedOn w:val="DefaultParagraphFont"/>
  </w:style>
  <w:style w:type="character" w:customStyle="1" w:styleId="cat-Addressgrp-0rplc-24">
    <w:name w:val="cat-Address grp-0 rplc-24"/>
    <w:basedOn w:val="DefaultParagraphFont"/>
  </w:style>
  <w:style w:type="character" w:customStyle="1" w:styleId="cat-UserDefinedgrp-79rplc-25">
    <w:name w:val="cat-UserDefined grp-79 rplc-25"/>
    <w:basedOn w:val="DefaultParagraphFont"/>
  </w:style>
  <w:style w:type="character" w:customStyle="1" w:styleId="cat-UserDefinedgrp-80rplc-27">
    <w:name w:val="cat-UserDefined grp-80 rplc-27"/>
    <w:basedOn w:val="DefaultParagraphFont"/>
  </w:style>
  <w:style w:type="character" w:customStyle="1" w:styleId="cat-Sumgrp-53rplc-29">
    <w:name w:val="cat-Sum grp-53 rplc-29"/>
    <w:basedOn w:val="DefaultParagraphFont"/>
  </w:style>
  <w:style w:type="character" w:customStyle="1" w:styleId="cat-Addressgrp-13rplc-30">
    <w:name w:val="cat-Address grp-13 rplc-30"/>
    <w:basedOn w:val="DefaultParagraphFont"/>
  </w:style>
  <w:style w:type="character" w:customStyle="1" w:styleId="cat-Addressgrp-14rplc-31">
    <w:name w:val="cat-Address grp-14 rplc-31"/>
    <w:basedOn w:val="DefaultParagraphFont"/>
  </w:style>
  <w:style w:type="character" w:customStyle="1" w:styleId="cat-Sumgrp-54rplc-32">
    <w:name w:val="cat-Sum grp-54 rplc-32"/>
    <w:basedOn w:val="DefaultParagraphFont"/>
  </w:style>
  <w:style w:type="character" w:customStyle="1" w:styleId="cat-Sumgrp-55rplc-35">
    <w:name w:val="cat-Sum grp-55 rplc-35"/>
    <w:basedOn w:val="DefaultParagraphFont"/>
  </w:style>
  <w:style w:type="character" w:customStyle="1" w:styleId="cat-Sumgrp-53rplc-36">
    <w:name w:val="cat-Sum grp-53 rplc-36"/>
    <w:basedOn w:val="DefaultParagraphFont"/>
  </w:style>
  <w:style w:type="character" w:customStyle="1" w:styleId="cat-Sumgrp-54rplc-37">
    <w:name w:val="cat-Sum grp-54 rplc-37"/>
    <w:basedOn w:val="DefaultParagraphFont"/>
  </w:style>
  <w:style w:type="character" w:customStyle="1" w:styleId="cat-OrganizationNamegrp-68rplc-38">
    <w:name w:val="cat-OrganizationName grp-68 rplc-38"/>
    <w:basedOn w:val="DefaultParagraphFont"/>
  </w:style>
  <w:style w:type="character" w:customStyle="1" w:styleId="cat-UserDefinedgrp-80rplc-40">
    <w:name w:val="cat-UserDefined grp-80 rplc-40"/>
    <w:basedOn w:val="DefaultParagraphFont"/>
  </w:style>
  <w:style w:type="character" w:customStyle="1" w:styleId="cat-Sumgrp-53rplc-42">
    <w:name w:val="cat-Sum grp-53 rplc-42"/>
    <w:basedOn w:val="DefaultParagraphFont"/>
  </w:style>
  <w:style w:type="character" w:customStyle="1" w:styleId="cat-Sumgrp-54rplc-43">
    <w:name w:val="cat-Sum grp-54 rplc-43"/>
    <w:basedOn w:val="DefaultParagraphFont"/>
  </w:style>
  <w:style w:type="character" w:customStyle="1" w:styleId="cat-Sumgrp-56rplc-46">
    <w:name w:val="cat-Sum grp-56 rplc-46"/>
    <w:basedOn w:val="DefaultParagraphFont"/>
  </w:style>
  <w:style w:type="character" w:customStyle="1" w:styleId="cat-OrganizationNamegrp-67rplc-48">
    <w:name w:val="cat-OrganizationName grp-67 rplc-48"/>
    <w:basedOn w:val="DefaultParagraphFont"/>
  </w:style>
  <w:style w:type="character" w:customStyle="1" w:styleId="cat-FIOgrp-42rplc-49">
    <w:name w:val="cat-FIO grp-42 rplc-49"/>
    <w:basedOn w:val="DefaultParagraphFont"/>
  </w:style>
  <w:style w:type="character" w:customStyle="1" w:styleId="cat-OrganizationNamegrp-69rplc-51">
    <w:name w:val="cat-OrganizationName grp-69 rplc-51"/>
    <w:basedOn w:val="DefaultParagraphFont"/>
  </w:style>
  <w:style w:type="character" w:customStyle="1" w:styleId="cat-OrganizationNamegrp-68rplc-52">
    <w:name w:val="cat-OrganizationName grp-68 rplc-52"/>
    <w:basedOn w:val="DefaultParagraphFont"/>
  </w:style>
  <w:style w:type="character" w:customStyle="1" w:styleId="cat-FIOgrp-47rplc-53">
    <w:name w:val="cat-FIO grp-47 rplc-53"/>
    <w:basedOn w:val="DefaultParagraphFont"/>
  </w:style>
  <w:style w:type="character" w:customStyle="1" w:styleId="cat-FIOgrp-44rplc-54">
    <w:name w:val="cat-FIO grp-44 rplc-54"/>
    <w:basedOn w:val="DefaultParagraphFont"/>
  </w:style>
  <w:style w:type="character" w:customStyle="1" w:styleId="cat-OrganizationNamegrp-68rplc-55">
    <w:name w:val="cat-OrganizationName grp-68 rplc-55"/>
    <w:basedOn w:val="DefaultParagraphFont"/>
  </w:style>
  <w:style w:type="character" w:customStyle="1" w:styleId="cat-UserDefinedgrp-81rplc-56">
    <w:name w:val="cat-UserDefined grp-81 rplc-56"/>
    <w:basedOn w:val="DefaultParagraphFont"/>
  </w:style>
  <w:style w:type="character" w:customStyle="1" w:styleId="cat-Addressgrp-5rplc-57">
    <w:name w:val="cat-Address grp-5 rplc-57"/>
    <w:basedOn w:val="DefaultParagraphFont"/>
  </w:style>
  <w:style w:type="character" w:customStyle="1" w:styleId="cat-OrganizationNamegrp-68rplc-58">
    <w:name w:val="cat-OrganizationName grp-68 rplc-58"/>
    <w:basedOn w:val="DefaultParagraphFont"/>
  </w:style>
  <w:style w:type="character" w:customStyle="1" w:styleId="cat-OrganizationNamegrp-70rplc-59">
    <w:name w:val="cat-OrganizationName grp-70 rplc-59"/>
    <w:basedOn w:val="DefaultParagraphFont"/>
  </w:style>
  <w:style w:type="character" w:customStyle="1" w:styleId="cat-OrganizationNamegrp-67rplc-60">
    <w:name w:val="cat-OrganizationName grp-67 rplc-60"/>
    <w:basedOn w:val="DefaultParagraphFont"/>
  </w:style>
  <w:style w:type="character" w:customStyle="1" w:styleId="cat-Addressgrp-13rplc-61">
    <w:name w:val="cat-Address grp-13 rplc-61"/>
    <w:basedOn w:val="DefaultParagraphFont"/>
  </w:style>
  <w:style w:type="character" w:customStyle="1" w:styleId="cat-Addressgrp-15rplc-62">
    <w:name w:val="cat-Address grp-15 rplc-62"/>
    <w:basedOn w:val="DefaultParagraphFont"/>
  </w:style>
  <w:style w:type="character" w:customStyle="1" w:styleId="cat-Addressgrp-6rplc-68">
    <w:name w:val="cat-Address grp-6 rplc-68"/>
    <w:basedOn w:val="DefaultParagraphFont"/>
  </w:style>
  <w:style w:type="character" w:customStyle="1" w:styleId="cat-Addressgrp-1rplc-70">
    <w:name w:val="cat-Address grp-1 rplc-70"/>
    <w:basedOn w:val="DefaultParagraphFont"/>
  </w:style>
  <w:style w:type="character" w:customStyle="1" w:styleId="cat-Addressgrp-4rplc-71">
    <w:name w:val="cat-Address grp-4 rplc-71"/>
    <w:basedOn w:val="DefaultParagraphFont"/>
  </w:style>
  <w:style w:type="character" w:customStyle="1" w:styleId="cat-Addressgrp-7rplc-72">
    <w:name w:val="cat-Address grp-7 rplc-72"/>
    <w:basedOn w:val="DefaultParagraphFont"/>
  </w:style>
  <w:style w:type="character" w:customStyle="1" w:styleId="cat-Addressgrp-1rplc-74">
    <w:name w:val="cat-Address grp-1 rplc-74"/>
    <w:basedOn w:val="DefaultParagraphFont"/>
  </w:style>
  <w:style w:type="character" w:customStyle="1" w:styleId="cat-Addressgrp-4rplc-75">
    <w:name w:val="cat-Address grp-4 rplc-75"/>
    <w:basedOn w:val="DefaultParagraphFont"/>
  </w:style>
  <w:style w:type="character" w:customStyle="1" w:styleId="cat-OrganizationNamegrp-68rplc-76">
    <w:name w:val="cat-OrganizationName grp-68 rplc-76"/>
    <w:basedOn w:val="DefaultParagraphFont"/>
  </w:style>
  <w:style w:type="character" w:customStyle="1" w:styleId="cat-OrganizationNamegrp-68rplc-78">
    <w:name w:val="cat-OrganizationName grp-68 rplc-78"/>
    <w:basedOn w:val="DefaultParagraphFont"/>
  </w:style>
  <w:style w:type="character" w:customStyle="1" w:styleId="cat-Addressgrp-8rplc-79">
    <w:name w:val="cat-Address grp-8 rplc-79"/>
    <w:basedOn w:val="DefaultParagraphFont"/>
  </w:style>
  <w:style w:type="character" w:customStyle="1" w:styleId="cat-Addressgrp-4rplc-80">
    <w:name w:val="cat-Address grp-4 rplc-80"/>
    <w:basedOn w:val="DefaultParagraphFont"/>
  </w:style>
  <w:style w:type="character" w:customStyle="1" w:styleId="cat-UserDefinedgrp-31rplc-82">
    <w:name w:val="cat-UserDefined grp-31 rplc-82"/>
    <w:basedOn w:val="DefaultParagraphFont"/>
  </w:style>
  <w:style w:type="character" w:customStyle="1" w:styleId="cat-FIOgrp-47rplc-85">
    <w:name w:val="cat-FIO grp-47 rplc-85"/>
    <w:basedOn w:val="DefaultParagraphFont"/>
  </w:style>
  <w:style w:type="character" w:customStyle="1" w:styleId="cat-Addressgrp-0rplc-86">
    <w:name w:val="cat-Address grp-0 rplc-86"/>
    <w:basedOn w:val="DefaultParagraphFont"/>
  </w:style>
  <w:style w:type="character" w:customStyle="1" w:styleId="cat-UserDefinedgrp-31rplc-88">
    <w:name w:val="cat-UserDefined grp-31 rplc-88"/>
    <w:basedOn w:val="DefaultParagraphFont"/>
  </w:style>
  <w:style w:type="character" w:customStyle="1" w:styleId="cat-Addressgrp-0rplc-89">
    <w:name w:val="cat-Address grp-0 rplc-89"/>
    <w:basedOn w:val="DefaultParagraphFont"/>
  </w:style>
  <w:style w:type="character" w:customStyle="1" w:styleId="cat-UserDefinedgrp-82rplc-90">
    <w:name w:val="cat-UserDefined grp-82 rplc-90"/>
    <w:basedOn w:val="DefaultParagraphFont"/>
  </w:style>
  <w:style w:type="character" w:customStyle="1" w:styleId="cat-FIOgrp-49rplc-97">
    <w:name w:val="cat-FIO grp-49 rplc-97"/>
    <w:basedOn w:val="DefaultParagraphFont"/>
  </w:style>
  <w:style w:type="character" w:customStyle="1" w:styleId="cat-Sumgrp-53rplc-98">
    <w:name w:val="cat-Sum grp-53 rplc-98"/>
    <w:basedOn w:val="DefaultParagraphFont"/>
  </w:style>
  <w:style w:type="character" w:customStyle="1" w:styleId="cat-Sumgrp-57rplc-101">
    <w:name w:val="cat-Sum grp-57 rplc-101"/>
    <w:basedOn w:val="DefaultParagraphFont"/>
  </w:style>
  <w:style w:type="character" w:customStyle="1" w:styleId="cat-FIOgrp-48rplc-102">
    <w:name w:val="cat-FIO grp-48 rplc-102"/>
    <w:basedOn w:val="DefaultParagraphFont"/>
  </w:style>
  <w:style w:type="character" w:customStyle="1" w:styleId="cat-OrganizationNamegrp-68rplc-103">
    <w:name w:val="cat-OrganizationName grp-68 rplc-103"/>
    <w:basedOn w:val="DefaultParagraphFont"/>
  </w:style>
  <w:style w:type="character" w:customStyle="1" w:styleId="cat-FIOgrp-47rplc-104">
    <w:name w:val="cat-FIO grp-47 rplc-104"/>
    <w:basedOn w:val="DefaultParagraphFont"/>
  </w:style>
  <w:style w:type="character" w:customStyle="1" w:styleId="cat-Sumgrp-57rplc-107">
    <w:name w:val="cat-Sum grp-57 rplc-107"/>
    <w:basedOn w:val="DefaultParagraphFont"/>
  </w:style>
  <w:style w:type="character" w:customStyle="1" w:styleId="cat-OrganizationNamegrp-68rplc-108">
    <w:name w:val="cat-OrganizationName grp-68 rplc-108"/>
    <w:basedOn w:val="DefaultParagraphFont"/>
  </w:style>
  <w:style w:type="character" w:customStyle="1" w:styleId="cat-FIOgrp-47rplc-112">
    <w:name w:val="cat-FIO grp-47 rplc-112"/>
    <w:basedOn w:val="DefaultParagraphFont"/>
  </w:style>
  <w:style w:type="character" w:customStyle="1" w:styleId="cat-Addressgrp-0rplc-113">
    <w:name w:val="cat-Address grp-0 rplc-113"/>
    <w:basedOn w:val="DefaultParagraphFont"/>
  </w:style>
  <w:style w:type="character" w:customStyle="1" w:styleId="cat-Addressgrp-11rplc-114">
    <w:name w:val="cat-Address grp-11 rplc-114"/>
    <w:basedOn w:val="DefaultParagraphFont"/>
  </w:style>
  <w:style w:type="character" w:customStyle="1" w:styleId="cat-Addressgrp-9rplc-115">
    <w:name w:val="cat-Address grp-9 rplc-115"/>
    <w:basedOn w:val="DefaultParagraphFont"/>
  </w:style>
  <w:style w:type="character" w:customStyle="1" w:styleId="cat-Addressgrp-10rplc-116">
    <w:name w:val="cat-Address grp-10 rplc-116"/>
    <w:basedOn w:val="DefaultParagraphFont"/>
  </w:style>
  <w:style w:type="character" w:customStyle="1" w:styleId="cat-UserDefinedgrp-80rplc-118">
    <w:name w:val="cat-UserDefined grp-80 rplc-118"/>
    <w:basedOn w:val="DefaultParagraphFont"/>
  </w:style>
  <w:style w:type="character" w:customStyle="1" w:styleId="cat-Addressgrp-13rplc-120">
    <w:name w:val="cat-Address grp-13 rplc-120"/>
    <w:basedOn w:val="DefaultParagraphFont"/>
  </w:style>
  <w:style w:type="character" w:customStyle="1" w:styleId="cat-Addressgrp-14rplc-121">
    <w:name w:val="cat-Address grp-14 rplc-121"/>
    <w:basedOn w:val="DefaultParagraphFont"/>
  </w:style>
  <w:style w:type="character" w:customStyle="1" w:styleId="cat-Sumgrp-58rplc-124">
    <w:name w:val="cat-Sum grp-58 rplc-124"/>
    <w:basedOn w:val="DefaultParagraphFont"/>
  </w:style>
  <w:style w:type="character" w:customStyle="1" w:styleId="cat-Sumgrp-59rplc-125">
    <w:name w:val="cat-Sum grp-59 rplc-125"/>
    <w:basedOn w:val="DefaultParagraphFont"/>
  </w:style>
  <w:style w:type="character" w:customStyle="1" w:styleId="cat-OrganizationNamegrp-66rplc-126">
    <w:name w:val="cat-OrganizationName grp-66 rplc-126"/>
    <w:basedOn w:val="DefaultParagraphFont"/>
  </w:style>
  <w:style w:type="character" w:customStyle="1" w:styleId="cat-UserDefinedgrp-83rplc-128">
    <w:name w:val="cat-UserDefined grp-83 rplc-128"/>
    <w:basedOn w:val="DefaultParagraphFont"/>
  </w:style>
  <w:style w:type="character" w:customStyle="1" w:styleId="cat-OrganizationNamegrp-67rplc-130">
    <w:name w:val="cat-OrganizationName grp-67 rplc-130"/>
    <w:basedOn w:val="DefaultParagraphFont"/>
  </w:style>
  <w:style w:type="character" w:customStyle="1" w:styleId="cat-UserDefinedgrp-85rplc-132">
    <w:name w:val="cat-UserDefined grp-85 rplc-132"/>
    <w:basedOn w:val="DefaultParagraphFont"/>
  </w:style>
  <w:style w:type="character" w:customStyle="1" w:styleId="cat-PassportDatagrp-64rplc-133">
    <w:name w:val="cat-PassportData grp-64 rplc-133"/>
    <w:basedOn w:val="DefaultParagraphFont"/>
  </w:style>
  <w:style w:type="character" w:customStyle="1" w:styleId="cat-ExternalSystemDefinedgrp-75rplc-134">
    <w:name w:val="cat-ExternalSystemDefined grp-75 rplc-134"/>
    <w:basedOn w:val="DefaultParagraphFont"/>
  </w:style>
  <w:style w:type="character" w:customStyle="1" w:styleId="cat-ExternalSystemDefinedgrp-73rplc-135">
    <w:name w:val="cat-ExternalSystemDefined grp-73 rplc-135"/>
    <w:basedOn w:val="DefaultParagraphFont"/>
  </w:style>
  <w:style w:type="character" w:customStyle="1" w:styleId="cat-UserDefinedgrp-84rplc-137">
    <w:name w:val="cat-UserDefined grp-84 rplc-137"/>
    <w:basedOn w:val="DefaultParagraphFont"/>
  </w:style>
  <w:style w:type="character" w:customStyle="1" w:styleId="cat-PassportDatagrp-65rplc-138">
    <w:name w:val="cat-PassportData grp-65 rplc-138"/>
    <w:basedOn w:val="DefaultParagraphFont"/>
  </w:style>
  <w:style w:type="character" w:customStyle="1" w:styleId="cat-ExternalSystemDefinedgrp-74rplc-139">
    <w:name w:val="cat-ExternalSystemDefined grp-74 rplc-139"/>
    <w:basedOn w:val="DefaultParagraphFont"/>
  </w:style>
  <w:style w:type="character" w:customStyle="1" w:styleId="cat-OrganizationNamegrp-66rplc-140">
    <w:name w:val="cat-OrganizationName grp-66 rplc-140"/>
    <w:basedOn w:val="DefaultParagraphFont"/>
  </w:style>
  <w:style w:type="character" w:customStyle="1" w:styleId="cat-Addressgrp-0rplc-141">
    <w:name w:val="cat-Address grp-0 rplc-141"/>
    <w:basedOn w:val="DefaultParagraphFont"/>
  </w:style>
  <w:style w:type="character" w:customStyle="1" w:styleId="cat-UserDefinedgrp-86rplc-142">
    <w:name w:val="cat-UserDefined grp-86 rplc-142"/>
    <w:basedOn w:val="DefaultParagraphFont"/>
  </w:style>
  <w:style w:type="character" w:customStyle="1" w:styleId="cat-Sumgrp-60rplc-143">
    <w:name w:val="cat-Sum grp-60 rplc-143"/>
    <w:basedOn w:val="DefaultParagraphFont"/>
  </w:style>
  <w:style w:type="character" w:customStyle="1" w:styleId="cat-UserDefinedgrp-80rplc-145">
    <w:name w:val="cat-UserDefined grp-80 rplc-145"/>
    <w:basedOn w:val="DefaultParagraphFont"/>
  </w:style>
  <w:style w:type="character" w:customStyle="1" w:styleId="cat-UserDefinedgrp-87rplc-148">
    <w:name w:val="cat-UserDefined grp-87 rplc-148"/>
    <w:basedOn w:val="DefaultParagraphFont"/>
  </w:style>
  <w:style w:type="character" w:customStyle="1" w:styleId="cat-Sumgrp-61rplc-150">
    <w:name w:val="cat-Sum grp-61 rplc-150"/>
    <w:basedOn w:val="DefaultParagraphFont"/>
  </w:style>
  <w:style w:type="character" w:customStyle="1" w:styleId="cat-Sumgrp-62rplc-151">
    <w:name w:val="cat-Sum grp-62 rplc-151"/>
    <w:basedOn w:val="DefaultParagraphFont"/>
  </w:style>
  <w:style w:type="character" w:customStyle="1" w:styleId="cat-Sumgrp-63rplc-152">
    <w:name w:val="cat-Sum grp-63 rplc-152"/>
    <w:basedOn w:val="DefaultParagraphFont"/>
  </w:style>
  <w:style w:type="character" w:customStyle="1" w:styleId="cat-Addressgrp-1rplc-153">
    <w:name w:val="cat-Address grp-1 rplc-153"/>
    <w:basedOn w:val="DefaultParagraphFont"/>
  </w:style>
  <w:style w:type="character" w:customStyle="1" w:styleId="cat-Addressgrp-4rplc-154">
    <w:name w:val="cat-Address grp-4 rplc-154"/>
    <w:basedOn w:val="DefaultParagraphFont"/>
  </w:style>
  <w:style w:type="character" w:customStyle="1" w:styleId="cat-Addressgrp-12rplc-155">
    <w:name w:val="cat-Address grp-12 rplc-155"/>
    <w:basedOn w:val="DefaultParagraphFont"/>
  </w:style>
  <w:style w:type="character" w:customStyle="1" w:styleId="cat-FIOgrp-52rplc-157">
    <w:name w:val="cat-FIO grp-52 rplc-157"/>
    <w:basedOn w:val="DefaultParagraphFont"/>
  </w:style>
  <w:style w:type="character" w:customStyle="1" w:styleId="cat-FIOgrp-52rplc-158">
    <w:name w:val="cat-FIO grp-52 rplc-1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E98AE-0D08-4E4F-816B-A10486A167C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